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E9" w:rsidRDefault="00E922C1" w:rsidP="007A3515">
      <w:r>
        <w:rPr>
          <w:b/>
          <w:u w:val="single"/>
        </w:rPr>
        <w:t>Chapter 13—The Courts</w:t>
      </w:r>
    </w:p>
    <w:p w:rsidR="00E922C1" w:rsidRDefault="00E922C1" w:rsidP="007A3515"/>
    <w:p w:rsidR="00E922C1" w:rsidRDefault="00E922C1" w:rsidP="00E922C1">
      <w:pPr>
        <w:spacing w:line="600" w:lineRule="auto"/>
      </w:pPr>
      <w:r>
        <w:t>Judiciary Act of 1789</w:t>
      </w:r>
    </w:p>
    <w:p w:rsidR="00E922C1" w:rsidRDefault="00E922C1" w:rsidP="00E922C1">
      <w:pPr>
        <w:spacing w:line="600" w:lineRule="auto"/>
      </w:pPr>
      <w:r>
        <w:t xml:space="preserve">District Courts </w:t>
      </w:r>
    </w:p>
    <w:p w:rsidR="00E922C1" w:rsidRDefault="00E922C1" w:rsidP="00E922C1">
      <w:pPr>
        <w:spacing w:line="600" w:lineRule="auto"/>
      </w:pPr>
      <w:r>
        <w:t>Appellate Jurisdiction</w:t>
      </w:r>
    </w:p>
    <w:p w:rsidR="00E922C1" w:rsidRDefault="00E922C1" w:rsidP="00E922C1">
      <w:pPr>
        <w:spacing w:line="600" w:lineRule="auto"/>
      </w:pPr>
      <w:r>
        <w:t>Judicial Review</w:t>
      </w:r>
    </w:p>
    <w:p w:rsidR="00E922C1" w:rsidRDefault="00E922C1" w:rsidP="00E922C1">
      <w:pPr>
        <w:spacing w:line="600" w:lineRule="auto"/>
      </w:pPr>
      <w:r>
        <w:t>Original Jurisdiction</w:t>
      </w:r>
    </w:p>
    <w:p w:rsidR="00E922C1" w:rsidRDefault="00E922C1" w:rsidP="00E922C1">
      <w:pPr>
        <w:spacing w:line="600" w:lineRule="auto"/>
      </w:pPr>
      <w:r>
        <w:t>Constitutional Interpretation</w:t>
      </w:r>
    </w:p>
    <w:p w:rsidR="00E922C1" w:rsidRDefault="00E922C1" w:rsidP="00E922C1">
      <w:pPr>
        <w:spacing w:line="600" w:lineRule="auto"/>
      </w:pPr>
      <w:r>
        <w:t>Statutory Interpretation</w:t>
      </w:r>
    </w:p>
    <w:p w:rsidR="00E922C1" w:rsidRDefault="00E922C1" w:rsidP="00E922C1">
      <w:pPr>
        <w:spacing w:line="600" w:lineRule="auto"/>
      </w:pPr>
      <w:r>
        <w:t>Plaintiff</w:t>
      </w:r>
    </w:p>
    <w:p w:rsidR="00E922C1" w:rsidRDefault="00E922C1" w:rsidP="00E922C1">
      <w:pPr>
        <w:spacing w:line="600" w:lineRule="auto"/>
      </w:pPr>
      <w:r>
        <w:t>Defendant</w:t>
      </w:r>
    </w:p>
    <w:p w:rsidR="00E922C1" w:rsidRDefault="00E922C1" w:rsidP="00E922C1">
      <w:pPr>
        <w:spacing w:line="600" w:lineRule="auto"/>
      </w:pPr>
      <w:r>
        <w:t>Plea Bargain</w:t>
      </w:r>
    </w:p>
    <w:p w:rsidR="00E922C1" w:rsidRDefault="00E922C1" w:rsidP="00E922C1">
      <w:pPr>
        <w:spacing w:line="600" w:lineRule="auto"/>
      </w:pPr>
      <w:r>
        <w:t>Class-Action Lawsuit</w:t>
      </w:r>
    </w:p>
    <w:p w:rsidR="00E922C1" w:rsidRDefault="00E922C1" w:rsidP="00E922C1">
      <w:pPr>
        <w:spacing w:line="600" w:lineRule="auto"/>
      </w:pPr>
      <w:r>
        <w:t>Common Law</w:t>
      </w:r>
    </w:p>
    <w:p w:rsidR="00E922C1" w:rsidRDefault="00E922C1" w:rsidP="00E922C1">
      <w:pPr>
        <w:spacing w:line="600" w:lineRule="auto"/>
      </w:pPr>
      <w:r>
        <w:t>Precedent</w:t>
      </w:r>
    </w:p>
    <w:p w:rsidR="00E922C1" w:rsidRDefault="00E922C1" w:rsidP="00E922C1">
      <w:pPr>
        <w:spacing w:line="600" w:lineRule="auto"/>
      </w:pPr>
      <w:r>
        <w:t>Standing</w:t>
      </w:r>
    </w:p>
    <w:p w:rsidR="00E922C1" w:rsidRDefault="00E922C1" w:rsidP="00E922C1">
      <w:pPr>
        <w:spacing w:line="600" w:lineRule="auto"/>
      </w:pPr>
      <w:r>
        <w:t>Jurisdiction</w:t>
      </w:r>
    </w:p>
    <w:p w:rsidR="00E922C1" w:rsidRDefault="00E922C1" w:rsidP="00E922C1">
      <w:pPr>
        <w:spacing w:line="600" w:lineRule="auto"/>
      </w:pPr>
      <w:r>
        <w:t>Appeals Court</w:t>
      </w:r>
    </w:p>
    <w:p w:rsidR="00E922C1" w:rsidRDefault="00E922C1" w:rsidP="00E922C1">
      <w:pPr>
        <w:spacing w:line="600" w:lineRule="auto"/>
      </w:pPr>
      <w:r>
        <w:t>Senatorial Courtesy</w:t>
      </w:r>
    </w:p>
    <w:p w:rsidR="00E922C1" w:rsidRDefault="00E922C1" w:rsidP="00E922C1">
      <w:pPr>
        <w:spacing w:line="600" w:lineRule="auto"/>
      </w:pPr>
      <w:r>
        <w:t>Writ of Certiorai</w:t>
      </w:r>
    </w:p>
    <w:p w:rsidR="00E922C1" w:rsidRDefault="00E922C1" w:rsidP="00E922C1">
      <w:pPr>
        <w:spacing w:line="600" w:lineRule="auto"/>
      </w:pPr>
      <w:r>
        <w:t>Mootness</w:t>
      </w:r>
    </w:p>
    <w:p w:rsidR="00E922C1" w:rsidRDefault="00E922C1" w:rsidP="00E922C1">
      <w:pPr>
        <w:spacing w:line="600" w:lineRule="auto"/>
      </w:pPr>
      <w:r>
        <w:lastRenderedPageBreak/>
        <w:t>Ripeness</w:t>
      </w:r>
    </w:p>
    <w:p w:rsidR="00E922C1" w:rsidRDefault="00E922C1" w:rsidP="00E922C1">
      <w:pPr>
        <w:spacing w:line="600" w:lineRule="auto"/>
      </w:pPr>
      <w:r>
        <w:t>Cert Pool</w:t>
      </w:r>
    </w:p>
    <w:p w:rsidR="00E922C1" w:rsidRDefault="00E922C1" w:rsidP="00E922C1">
      <w:pPr>
        <w:spacing w:line="600" w:lineRule="auto"/>
      </w:pPr>
      <w:r>
        <w:t>Solicitor General</w:t>
      </w:r>
    </w:p>
    <w:p w:rsidR="00E922C1" w:rsidRDefault="00E922C1" w:rsidP="00E922C1">
      <w:pPr>
        <w:spacing w:line="600" w:lineRule="auto"/>
      </w:pPr>
      <w:r>
        <w:t>Amicus Curae</w:t>
      </w:r>
    </w:p>
    <w:p w:rsidR="00E922C1" w:rsidRDefault="00E922C1" w:rsidP="00E922C1">
      <w:pPr>
        <w:spacing w:line="600" w:lineRule="auto"/>
      </w:pPr>
      <w:r>
        <w:t>Oral Arguments</w:t>
      </w:r>
    </w:p>
    <w:p w:rsidR="00E922C1" w:rsidRDefault="00E922C1" w:rsidP="00E922C1">
      <w:pPr>
        <w:spacing w:line="600" w:lineRule="auto"/>
      </w:pPr>
      <w:r>
        <w:t>Strict Construction</w:t>
      </w:r>
    </w:p>
    <w:p w:rsidR="00E922C1" w:rsidRDefault="00E922C1" w:rsidP="00E922C1">
      <w:pPr>
        <w:spacing w:line="600" w:lineRule="auto"/>
      </w:pPr>
      <w:r>
        <w:t>Original Intent</w:t>
      </w:r>
    </w:p>
    <w:p w:rsidR="00E922C1" w:rsidRDefault="00E922C1" w:rsidP="00E922C1">
      <w:pPr>
        <w:spacing w:line="600" w:lineRule="auto"/>
      </w:pPr>
      <w:r>
        <w:t>Living Constitution</w:t>
      </w:r>
    </w:p>
    <w:p w:rsidR="00E922C1" w:rsidRDefault="00E922C1" w:rsidP="00E922C1">
      <w:pPr>
        <w:spacing w:line="600" w:lineRule="auto"/>
      </w:pPr>
      <w:r>
        <w:t>Attitudinalist Approach</w:t>
      </w:r>
    </w:p>
    <w:p w:rsidR="00E922C1" w:rsidRDefault="00E922C1" w:rsidP="00E922C1">
      <w:pPr>
        <w:spacing w:line="600" w:lineRule="auto"/>
      </w:pPr>
      <w:r>
        <w:t>Judicial Restraint</w:t>
      </w:r>
    </w:p>
    <w:p w:rsidR="00E922C1" w:rsidRDefault="00E922C1" w:rsidP="00E922C1">
      <w:pPr>
        <w:spacing w:line="600" w:lineRule="auto"/>
      </w:pPr>
      <w:r>
        <w:t>Judicial Activism</w:t>
      </w:r>
    </w:p>
    <w:p w:rsidR="00E922C1" w:rsidRPr="00E922C1" w:rsidRDefault="00E922C1" w:rsidP="00E922C1">
      <w:pPr>
        <w:spacing w:line="600" w:lineRule="auto"/>
      </w:pPr>
      <w:bookmarkStart w:id="0" w:name="_GoBack"/>
      <w:bookmarkEnd w:id="0"/>
    </w:p>
    <w:sectPr w:rsidR="00E922C1" w:rsidRPr="00E922C1" w:rsidSect="00D36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C1" w:rsidRDefault="00E922C1" w:rsidP="00E46E7E">
      <w:r>
        <w:separator/>
      </w:r>
    </w:p>
  </w:endnote>
  <w:endnote w:type="continuationSeparator" w:id="0">
    <w:p w:rsidR="00E922C1" w:rsidRDefault="00E922C1" w:rsidP="00E4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C1" w:rsidRDefault="00E922C1" w:rsidP="00E46E7E">
      <w:r>
        <w:separator/>
      </w:r>
    </w:p>
  </w:footnote>
  <w:footnote w:type="continuationSeparator" w:id="0">
    <w:p w:rsidR="00E922C1" w:rsidRDefault="00E922C1" w:rsidP="00E4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75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5F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ED3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3E4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C1"/>
    <w:rsid w:val="000140EC"/>
    <w:rsid w:val="00016A35"/>
    <w:rsid w:val="000C16B3"/>
    <w:rsid w:val="001408C0"/>
    <w:rsid w:val="00143FD7"/>
    <w:rsid w:val="001463FB"/>
    <w:rsid w:val="00186DB7"/>
    <w:rsid w:val="001D7626"/>
    <w:rsid w:val="002613DA"/>
    <w:rsid w:val="002B6353"/>
    <w:rsid w:val="002B68C8"/>
    <w:rsid w:val="002F35F4"/>
    <w:rsid w:val="002F3E28"/>
    <w:rsid w:val="002F40E6"/>
    <w:rsid w:val="00303E5B"/>
    <w:rsid w:val="00313226"/>
    <w:rsid w:val="0031425E"/>
    <w:rsid w:val="00325059"/>
    <w:rsid w:val="00357719"/>
    <w:rsid w:val="00374144"/>
    <w:rsid w:val="003B3EC7"/>
    <w:rsid w:val="003F42AF"/>
    <w:rsid w:val="00412F6D"/>
    <w:rsid w:val="0042635A"/>
    <w:rsid w:val="00466B6F"/>
    <w:rsid w:val="004B3188"/>
    <w:rsid w:val="004B3DB3"/>
    <w:rsid w:val="004C63B5"/>
    <w:rsid w:val="004D461E"/>
    <w:rsid w:val="00517479"/>
    <w:rsid w:val="005A0BE5"/>
    <w:rsid w:val="005C0E1F"/>
    <w:rsid w:val="005E0D2B"/>
    <w:rsid w:val="005E2C99"/>
    <w:rsid w:val="00672258"/>
    <w:rsid w:val="0067575B"/>
    <w:rsid w:val="00692C26"/>
    <w:rsid w:val="006F2D3D"/>
    <w:rsid w:val="00700835"/>
    <w:rsid w:val="00726F87"/>
    <w:rsid w:val="007333B9"/>
    <w:rsid w:val="00791B7D"/>
    <w:rsid w:val="007A3515"/>
    <w:rsid w:val="007D7924"/>
    <w:rsid w:val="007E470C"/>
    <w:rsid w:val="007E5F71"/>
    <w:rsid w:val="00821415"/>
    <w:rsid w:val="0083768F"/>
    <w:rsid w:val="0091595A"/>
    <w:rsid w:val="009165EA"/>
    <w:rsid w:val="009829F2"/>
    <w:rsid w:val="00993F61"/>
    <w:rsid w:val="009B0746"/>
    <w:rsid w:val="009C198B"/>
    <w:rsid w:val="009D207E"/>
    <w:rsid w:val="009E5822"/>
    <w:rsid w:val="009E691A"/>
    <w:rsid w:val="00A074CB"/>
    <w:rsid w:val="00A369C4"/>
    <w:rsid w:val="00A47986"/>
    <w:rsid w:val="00A91A24"/>
    <w:rsid w:val="00AC0E99"/>
    <w:rsid w:val="00AF1E67"/>
    <w:rsid w:val="00AF5046"/>
    <w:rsid w:val="00AF70D4"/>
    <w:rsid w:val="00B169A1"/>
    <w:rsid w:val="00B33E0C"/>
    <w:rsid w:val="00B45FE9"/>
    <w:rsid w:val="00B55D49"/>
    <w:rsid w:val="00B65E97"/>
    <w:rsid w:val="00B84180"/>
    <w:rsid w:val="00BE63EA"/>
    <w:rsid w:val="00C42A3C"/>
    <w:rsid w:val="00CD2C6D"/>
    <w:rsid w:val="00CF1A0F"/>
    <w:rsid w:val="00D36252"/>
    <w:rsid w:val="00D4330B"/>
    <w:rsid w:val="00D460F1"/>
    <w:rsid w:val="00D51B44"/>
    <w:rsid w:val="00D6085D"/>
    <w:rsid w:val="00D66D57"/>
    <w:rsid w:val="00D81480"/>
    <w:rsid w:val="00DA2E40"/>
    <w:rsid w:val="00DA5BF8"/>
    <w:rsid w:val="00DC71AA"/>
    <w:rsid w:val="00DD2FAB"/>
    <w:rsid w:val="00DE627C"/>
    <w:rsid w:val="00DF1850"/>
    <w:rsid w:val="00E46E7E"/>
    <w:rsid w:val="00E922C1"/>
    <w:rsid w:val="00E95631"/>
    <w:rsid w:val="00F1173B"/>
    <w:rsid w:val="00F45F2E"/>
    <w:rsid w:val="00FA538E"/>
    <w:rsid w:val="00FD50BA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20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F1850"/>
    <w:rPr>
      <w:rFonts w:ascii="Calibri" w:hAnsi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DF1850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DF1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7"/>
    <w:qFormat/>
    <w:rsid w:val="00DF1850"/>
    <w:rPr>
      <w:rFonts w:ascii="Calibri" w:hAnsi="Calibri"/>
      <w:b/>
      <w:i w:val="0"/>
      <w:iCs/>
      <w:sz w:val="22"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DF1850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DF1850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DF1850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DF1850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DF1850"/>
  </w:style>
  <w:style w:type="character" w:customStyle="1" w:styleId="StyleStyleBold12pt">
    <w:name w:val="Style Style Bold + 12 pt"/>
    <w:aliases w:val="Cite"/>
    <w:basedOn w:val="DefaultParagraphFont"/>
    <w:uiPriority w:val="1"/>
    <w:qFormat/>
    <w:rsid w:val="00DF1850"/>
    <w:rPr>
      <w:b/>
      <w:sz w:val="26"/>
      <w:u w:val="none"/>
    </w:rPr>
  </w:style>
  <w:style w:type="character" w:customStyle="1" w:styleId="StyleBoldUnderline">
    <w:name w:val="Style Bold Underline"/>
    <w:aliases w:val="Underline"/>
    <w:basedOn w:val="DefaultParagraphFont"/>
    <w:uiPriority w:val="1"/>
    <w:qFormat/>
    <w:rsid w:val="00DF1850"/>
    <w:rPr>
      <w:b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185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850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DF1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5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50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F1850"/>
  </w:style>
  <w:style w:type="character" w:styleId="Hyperlink">
    <w:name w:val="Hyperlink"/>
    <w:basedOn w:val="DefaultParagraphFont"/>
    <w:uiPriority w:val="99"/>
    <w:unhideWhenUsed/>
    <w:rsid w:val="00DF1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F1850"/>
    <w:rPr>
      <w:rFonts w:ascii="Calibri" w:hAnsi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DF1850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DF1850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DF1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7"/>
    <w:qFormat/>
    <w:rsid w:val="00DF1850"/>
    <w:rPr>
      <w:rFonts w:ascii="Calibri" w:hAnsi="Calibri"/>
      <w:b/>
      <w:i w:val="0"/>
      <w:iCs/>
      <w:sz w:val="22"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DF1850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DF1850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DF1850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DF1850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DF1850"/>
  </w:style>
  <w:style w:type="character" w:customStyle="1" w:styleId="StyleStyleBold12pt">
    <w:name w:val="Style Style Bold + 12 pt"/>
    <w:aliases w:val="Cite"/>
    <w:basedOn w:val="DefaultParagraphFont"/>
    <w:uiPriority w:val="1"/>
    <w:qFormat/>
    <w:rsid w:val="00DF1850"/>
    <w:rPr>
      <w:b/>
      <w:sz w:val="26"/>
      <w:u w:val="none"/>
    </w:rPr>
  </w:style>
  <w:style w:type="character" w:customStyle="1" w:styleId="StyleBoldUnderline">
    <w:name w:val="Style Bold Underline"/>
    <w:aliases w:val="Underline"/>
    <w:basedOn w:val="DefaultParagraphFont"/>
    <w:uiPriority w:val="1"/>
    <w:qFormat/>
    <w:rsid w:val="00DF1850"/>
    <w:rPr>
      <w:b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185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850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DF1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5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F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50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F1850"/>
  </w:style>
  <w:style w:type="character" w:styleId="Hyperlink">
    <w:name w:val="Hyperlink"/>
    <w:basedOn w:val="DefaultParagraphFont"/>
    <w:uiPriority w:val="99"/>
    <w:unhideWhenUsed/>
    <w:rsid w:val="00DF1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ustinrimmey:Library:Application%20Support:Microsoft:Office:User%20Templates:My%20Templates: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3</TotalTime>
  <Pages>2</Pages>
  <Words>77</Words>
  <Characters>442</Characters>
  <Application>Microsoft Macintosh Word</Application>
  <DocSecurity>0</DocSecurity>
  <Lines>3</Lines>
  <Paragraphs>1</Paragraphs>
  <ScaleCrop>false</ScaleCrop>
  <Company>Whitman College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1</cp:revision>
  <dcterms:created xsi:type="dcterms:W3CDTF">2013-11-09T20:26:00Z</dcterms:created>
  <dcterms:modified xsi:type="dcterms:W3CDTF">2013-11-09T20:29:00Z</dcterms:modified>
</cp:coreProperties>
</file>