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8F" w:rsidRDefault="008E0FD6" w:rsidP="001A2F5F">
      <w:pPr>
        <w:spacing w:line="480" w:lineRule="auto"/>
      </w:pPr>
      <w:r>
        <w:rPr>
          <w:b/>
          <w:u w:val="single"/>
        </w:rPr>
        <w:t xml:space="preserve">Chapter </w:t>
      </w:r>
      <w:r w:rsidR="00A00EAB">
        <w:rPr>
          <w:b/>
          <w:u w:val="single"/>
        </w:rPr>
        <w:t xml:space="preserve">6 </w:t>
      </w:r>
      <w:r>
        <w:rPr>
          <w:b/>
          <w:u w:val="single"/>
        </w:rPr>
        <w:t>Term List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assemblies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authoritarian regimes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bicameralism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bureaucracies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cabinet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chief executives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civil service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confidence relationship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constitutional regimes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decision rules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democracy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democratic presidential regime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federal systems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higher civil service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impeachment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judicial review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ombudsman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parliamentary regimes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policymaking</w:t>
      </w:r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semipresidential</w:t>
      </w:r>
      <w:proofErr w:type="spellEnd"/>
    </w:p>
    <w:p w:rsidR="008E0FD6" w:rsidRDefault="008E0FD6" w:rsidP="001A2F5F">
      <w:pPr>
        <w:autoSpaceDE w:val="0"/>
        <w:autoSpaceDN w:val="0"/>
        <w:adjustRightInd w:val="0"/>
        <w:snapToGrid w:val="0"/>
        <w:spacing w:after="0" w:line="48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separation of powers</w:t>
      </w:r>
    </w:p>
    <w:p w:rsidR="008E0FD6" w:rsidRPr="008E0FD6" w:rsidRDefault="008E0FD6" w:rsidP="001A2F5F">
      <w:pPr>
        <w:spacing w:line="480" w:lineRule="auto"/>
      </w:pPr>
      <w:bookmarkStart w:id="0" w:name="_GoBack"/>
      <w:bookmarkEnd w:id="0"/>
    </w:p>
    <w:sectPr w:rsidR="008E0FD6" w:rsidRPr="008E0FD6" w:rsidSect="00833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E0FD6"/>
    <w:rsid w:val="00050DC6"/>
    <w:rsid w:val="001A2F5F"/>
    <w:rsid w:val="005C5FB0"/>
    <w:rsid w:val="008339FC"/>
    <w:rsid w:val="00862D4A"/>
    <w:rsid w:val="008E0FD6"/>
    <w:rsid w:val="00A0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Toshiba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TPS</cp:lastModifiedBy>
  <cp:revision>3</cp:revision>
  <dcterms:created xsi:type="dcterms:W3CDTF">2012-03-03T16:10:00Z</dcterms:created>
  <dcterms:modified xsi:type="dcterms:W3CDTF">2012-03-08T18:24:00Z</dcterms:modified>
</cp:coreProperties>
</file>